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4CB9B" w14:textId="77777777" w:rsidR="00503DCB" w:rsidRPr="00503DCB" w:rsidRDefault="00503DCB" w:rsidP="78B05A67">
      <w:pPr>
        <w:jc w:val="both"/>
        <w:rPr>
          <w:rFonts w:cstheme="minorHAnsi"/>
        </w:rPr>
      </w:pPr>
    </w:p>
    <w:p w14:paraId="16F0A4BC" w14:textId="77777777" w:rsidR="00503DCB" w:rsidRPr="00503DCB" w:rsidRDefault="00503DCB" w:rsidP="78B05A67">
      <w:pPr>
        <w:jc w:val="both"/>
        <w:rPr>
          <w:rFonts w:cstheme="minorHAnsi"/>
        </w:rPr>
      </w:pPr>
    </w:p>
    <w:p w14:paraId="13302B18" w14:textId="7B33F9BD" w:rsidR="00503DCB" w:rsidRPr="00503DCB" w:rsidRDefault="00503DCB" w:rsidP="78B05A67">
      <w:pPr>
        <w:jc w:val="both"/>
        <w:rPr>
          <w:rFonts w:cstheme="minorHAnsi"/>
        </w:rPr>
      </w:pPr>
      <w:r w:rsidRPr="00503DCB">
        <w:rPr>
          <w:rFonts w:cstheme="minorHAnsi"/>
          <w:b/>
        </w:rPr>
        <w:t>Onderwerp DTO 2025-2026</w:t>
      </w:r>
    </w:p>
    <w:p w14:paraId="7AD2AC29" w14:textId="1A964DB7" w:rsidR="00E23EB9" w:rsidRPr="00503DCB" w:rsidRDefault="5290204B" w:rsidP="78B05A67">
      <w:pPr>
        <w:jc w:val="both"/>
        <w:rPr>
          <w:rFonts w:cstheme="minorHAnsi"/>
        </w:rPr>
      </w:pPr>
      <w:r w:rsidRPr="00503DCB">
        <w:rPr>
          <w:rFonts w:cstheme="minorHAnsi"/>
        </w:rPr>
        <w:t>M</w:t>
      </w:r>
      <w:r w:rsidR="00E23EB9" w:rsidRPr="00503DCB">
        <w:rPr>
          <w:rFonts w:cstheme="minorHAnsi"/>
        </w:rPr>
        <w:t>et het DTO</w:t>
      </w:r>
      <w:r w:rsidR="00631E07" w:rsidRPr="00503DCB">
        <w:rPr>
          <w:rFonts w:cstheme="minorHAnsi"/>
        </w:rPr>
        <w:t>/FTO</w:t>
      </w:r>
      <w:r w:rsidR="00E23EB9" w:rsidRPr="00503DCB">
        <w:rPr>
          <w:rFonts w:cstheme="minorHAnsi"/>
        </w:rPr>
        <w:t xml:space="preserve"> zullen we aan de hand van spiegelinformatie en waar mogelijk casuïstiek betreffende de verschillende bepalingen het aanvraaggedrag vergelijken en tevens dieper ingaan op het nut en interpretatie van deze bepalingen en de mogelijke valkuilen die er kunnen zijn. Ook kunnen behandelopties (i.h.k. van microbiologische parameters) de revue passere</w:t>
      </w:r>
      <w:bookmarkStart w:id="0" w:name="_GoBack"/>
      <w:bookmarkEnd w:id="0"/>
      <w:r w:rsidR="00E23EB9" w:rsidRPr="00503DCB">
        <w:rPr>
          <w:rFonts w:cstheme="minorHAnsi"/>
        </w:rPr>
        <w:t>n en tevens worden de belangrijkste kosten van de diagnostiek aangestipt.</w:t>
      </w:r>
      <w:r w:rsidR="002774B7" w:rsidRPr="00503DCB">
        <w:rPr>
          <w:rFonts w:cstheme="minorHAnsi"/>
        </w:rPr>
        <w:t xml:space="preserve"> De basis van elk DTO/FTO</w:t>
      </w:r>
      <w:r w:rsidR="00631E07" w:rsidRPr="00503DCB">
        <w:rPr>
          <w:rFonts w:cstheme="minorHAnsi"/>
        </w:rPr>
        <w:t xml:space="preserve"> zijn de actuele richtlijnen/ NHG standaarden.</w:t>
      </w:r>
    </w:p>
    <w:p w14:paraId="7F239E65" w14:textId="77777777" w:rsidR="0053367C" w:rsidRPr="00503DCB" w:rsidRDefault="0053367C">
      <w:pPr>
        <w:rPr>
          <w:rFonts w:cstheme="minorHAnsi"/>
        </w:rPr>
      </w:pPr>
    </w:p>
    <w:tbl>
      <w:tblPr>
        <w:tblStyle w:val="Tabelraster"/>
        <w:tblW w:w="9067" w:type="dxa"/>
        <w:tblLook w:val="04A0" w:firstRow="1" w:lastRow="0" w:firstColumn="1" w:lastColumn="0" w:noHBand="0" w:noVBand="1"/>
      </w:tblPr>
      <w:tblGrid>
        <w:gridCol w:w="3340"/>
        <w:gridCol w:w="5727"/>
      </w:tblGrid>
      <w:tr w:rsidR="002774B7" w:rsidRPr="00503DCB" w14:paraId="12E3EB8E" w14:textId="77777777" w:rsidTr="78B05A67">
        <w:trPr>
          <w:trHeight w:val="467"/>
        </w:trPr>
        <w:tc>
          <w:tcPr>
            <w:tcW w:w="3340" w:type="dxa"/>
            <w:vAlign w:val="center"/>
          </w:tcPr>
          <w:p w14:paraId="1480927D" w14:textId="77777777" w:rsidR="002774B7" w:rsidRPr="00503DCB" w:rsidRDefault="002774B7" w:rsidP="00503DCB">
            <w:pPr>
              <w:rPr>
                <w:rFonts w:cstheme="minorHAnsi"/>
                <w:b/>
              </w:rPr>
            </w:pPr>
            <w:r w:rsidRPr="00503DCB">
              <w:rPr>
                <w:rFonts w:cstheme="minorHAnsi"/>
                <w:b/>
              </w:rPr>
              <w:t>ONDERWERP</w:t>
            </w:r>
          </w:p>
        </w:tc>
        <w:tc>
          <w:tcPr>
            <w:tcW w:w="5727" w:type="dxa"/>
            <w:vAlign w:val="center"/>
          </w:tcPr>
          <w:p w14:paraId="23807A63" w14:textId="77777777" w:rsidR="002774B7" w:rsidRPr="00503DCB" w:rsidRDefault="002774B7" w:rsidP="00503DCB">
            <w:pPr>
              <w:rPr>
                <w:rFonts w:cstheme="minorHAnsi"/>
                <w:b/>
              </w:rPr>
            </w:pPr>
            <w:r w:rsidRPr="00503DCB">
              <w:rPr>
                <w:rFonts w:cstheme="minorHAnsi"/>
                <w:b/>
              </w:rPr>
              <w:t>TOELICHTING</w:t>
            </w:r>
          </w:p>
        </w:tc>
      </w:tr>
      <w:tr w:rsidR="00E23EB9" w:rsidRPr="00503DCB" w14:paraId="0959CD5D" w14:textId="77777777" w:rsidTr="78B05A67">
        <w:trPr>
          <w:trHeight w:val="1200"/>
        </w:trPr>
        <w:tc>
          <w:tcPr>
            <w:tcW w:w="3340" w:type="dxa"/>
            <w:hideMark/>
          </w:tcPr>
          <w:p w14:paraId="4CD053EB" w14:textId="77777777" w:rsidR="00E23EB9" w:rsidRPr="00503DCB" w:rsidRDefault="58D9CA8E" w:rsidP="78B05A67">
            <w:pPr>
              <w:rPr>
                <w:rFonts w:cstheme="minorHAnsi"/>
              </w:rPr>
            </w:pPr>
            <w:r w:rsidRPr="00503DCB">
              <w:rPr>
                <w:rFonts w:cstheme="minorHAnsi"/>
              </w:rPr>
              <w:t>A</w:t>
            </w:r>
            <w:r w:rsidR="00E23EB9" w:rsidRPr="00503DCB">
              <w:rPr>
                <w:rFonts w:cstheme="minorHAnsi"/>
              </w:rPr>
              <w:t>lgemeen bloedonderzoek</w:t>
            </w:r>
          </w:p>
        </w:tc>
        <w:tc>
          <w:tcPr>
            <w:tcW w:w="5727" w:type="dxa"/>
          </w:tcPr>
          <w:p w14:paraId="6F303416" w14:textId="77777777" w:rsidR="00E23EB9" w:rsidRPr="00503DCB" w:rsidRDefault="00E23EB9" w:rsidP="6D867BF9">
            <w:pPr>
              <w:rPr>
                <w:rFonts w:cstheme="minorHAnsi"/>
              </w:rPr>
            </w:pPr>
            <w:r w:rsidRPr="00503DCB">
              <w:rPr>
                <w:rFonts w:cstheme="minorHAnsi"/>
              </w:rPr>
              <w:t xml:space="preserve">Het doel van dit bloedonderzoek is om </w:t>
            </w:r>
            <w:r w:rsidR="5E23C418" w:rsidRPr="00503DCB">
              <w:rPr>
                <w:rFonts w:cstheme="minorHAnsi"/>
              </w:rPr>
              <w:t>bij onverklaarbare klachten mogelijk</w:t>
            </w:r>
            <w:r w:rsidRPr="00503DCB">
              <w:rPr>
                <w:rFonts w:cstheme="minorHAnsi"/>
              </w:rPr>
              <w:t xml:space="preserve"> ernstige aandoeningen uit te sluiten</w:t>
            </w:r>
            <w:r w:rsidR="27B1A20B" w:rsidRPr="00503DCB">
              <w:rPr>
                <w:rFonts w:cstheme="minorHAnsi"/>
              </w:rPr>
              <w:t>.</w:t>
            </w:r>
            <w:r w:rsidRPr="00503DCB">
              <w:rPr>
                <w:rFonts w:cstheme="minorHAnsi"/>
              </w:rPr>
              <w:t xml:space="preserve"> </w:t>
            </w:r>
            <w:r w:rsidR="3C529E5F" w:rsidRPr="00503DCB">
              <w:rPr>
                <w:rFonts w:cstheme="minorHAnsi"/>
              </w:rPr>
              <w:t>Z</w:t>
            </w:r>
            <w:r w:rsidRPr="00503DCB">
              <w:rPr>
                <w:rFonts w:cstheme="minorHAnsi"/>
              </w:rPr>
              <w:t>oals omschreven</w:t>
            </w:r>
            <w:r w:rsidR="0775EE3F" w:rsidRPr="00503DCB">
              <w:rPr>
                <w:rFonts w:cstheme="minorHAnsi"/>
              </w:rPr>
              <w:t xml:space="preserve"> staat</w:t>
            </w:r>
            <w:r w:rsidRPr="00503DCB">
              <w:rPr>
                <w:rFonts w:cstheme="minorHAnsi"/>
              </w:rPr>
              <w:t xml:space="preserve"> in de richtlijn somatisch onvoldoende verklaarde lichamelijke klachten (SOLK). Dit onderzoek omvat de bepalingen hemoglobine, glucose, TSH, kreatinine, ALAT en CRP (in plaats van bezinking, dat steeds minder vaak wordt aanbevolen). In dit DTO </w:t>
            </w:r>
            <w:r w:rsidR="26AC7F17" w:rsidRPr="00503DCB">
              <w:rPr>
                <w:rFonts w:cstheme="minorHAnsi"/>
              </w:rPr>
              <w:t xml:space="preserve">bespreken we </w:t>
            </w:r>
            <w:r w:rsidRPr="00503DCB">
              <w:rPr>
                <w:rFonts w:cstheme="minorHAnsi"/>
              </w:rPr>
              <w:t>de verschillende parameters meer in detail en wanneer deze in screenend on</w:t>
            </w:r>
            <w:r w:rsidR="002774B7" w:rsidRPr="00503DCB">
              <w:rPr>
                <w:rFonts w:cstheme="minorHAnsi"/>
              </w:rPr>
              <w:t>derzoek kunnen worden</w:t>
            </w:r>
            <w:r w:rsidR="7C4C7B5C" w:rsidRPr="00503DCB">
              <w:rPr>
                <w:rFonts w:cstheme="minorHAnsi"/>
              </w:rPr>
              <w:t xml:space="preserve"> gebruikt</w:t>
            </w:r>
            <w:r w:rsidR="002774B7" w:rsidRPr="00503DCB">
              <w:rPr>
                <w:rFonts w:cstheme="minorHAnsi"/>
              </w:rPr>
              <w:t>.</w:t>
            </w:r>
          </w:p>
          <w:p w14:paraId="274B2867" w14:textId="77777777" w:rsidR="00E23EB9" w:rsidRPr="00503DCB" w:rsidRDefault="00E23EB9" w:rsidP="00E23EB9">
            <w:pPr>
              <w:rPr>
                <w:rFonts w:cstheme="minorHAnsi"/>
              </w:rPr>
            </w:pPr>
          </w:p>
        </w:tc>
      </w:tr>
      <w:tr w:rsidR="00E23EB9" w:rsidRPr="00503DCB" w14:paraId="066DF466" w14:textId="77777777" w:rsidTr="78B05A67">
        <w:trPr>
          <w:trHeight w:val="765"/>
        </w:trPr>
        <w:tc>
          <w:tcPr>
            <w:tcW w:w="3340" w:type="dxa"/>
            <w:hideMark/>
          </w:tcPr>
          <w:p w14:paraId="5528295F" w14:textId="77777777" w:rsidR="00E23EB9" w:rsidRPr="00503DCB" w:rsidRDefault="40D197CC" w:rsidP="78B05A67">
            <w:pPr>
              <w:rPr>
                <w:rFonts w:cstheme="minorHAnsi"/>
              </w:rPr>
            </w:pPr>
            <w:r w:rsidRPr="00503DCB">
              <w:rPr>
                <w:rFonts w:cstheme="minorHAnsi"/>
              </w:rPr>
              <w:t>C</w:t>
            </w:r>
            <w:r w:rsidR="00E23EB9" w:rsidRPr="00503DCB">
              <w:rPr>
                <w:rFonts w:cstheme="minorHAnsi"/>
              </w:rPr>
              <w:t>ardiovasculair risico profiel</w:t>
            </w:r>
          </w:p>
        </w:tc>
        <w:tc>
          <w:tcPr>
            <w:tcW w:w="5727" w:type="dxa"/>
          </w:tcPr>
          <w:p w14:paraId="00C81162" w14:textId="77777777" w:rsidR="00E23EB9" w:rsidRPr="00503DCB" w:rsidRDefault="345C5A45" w:rsidP="5396F9F4">
            <w:pPr>
              <w:rPr>
                <w:rFonts w:cstheme="minorHAnsi"/>
              </w:rPr>
            </w:pPr>
            <w:r w:rsidRPr="00503DCB">
              <w:rPr>
                <w:rFonts w:cstheme="minorHAnsi"/>
              </w:rPr>
              <w:t>In dit DTO bespreken we d</w:t>
            </w:r>
            <w:r w:rsidR="00E23EB9" w:rsidRPr="00503DCB">
              <w:rPr>
                <w:rFonts w:cstheme="minorHAnsi"/>
              </w:rPr>
              <w:t xml:space="preserve">e laboratorium diagnostiek voor het inschatten van het cardiovasculair risico-profiel. Het lipidmetabolisme, het non-HDL, wel of geen nuchtere afname en wanneer onderzoek naar familiaire </w:t>
            </w:r>
            <w:r w:rsidR="002774B7" w:rsidRPr="00503DCB">
              <w:rPr>
                <w:rFonts w:cstheme="minorHAnsi"/>
              </w:rPr>
              <w:t>hypercholesteromie (LEEFH) in t</w:t>
            </w:r>
            <w:r w:rsidR="53CA97F4" w:rsidRPr="00503DCB">
              <w:rPr>
                <w:rFonts w:cstheme="minorHAnsi"/>
              </w:rPr>
              <w:t>e</w:t>
            </w:r>
            <w:r w:rsidR="00E23EB9" w:rsidRPr="00503DCB">
              <w:rPr>
                <w:rFonts w:cstheme="minorHAnsi"/>
              </w:rPr>
              <w:t xml:space="preserve"> zetten.</w:t>
            </w:r>
          </w:p>
          <w:p w14:paraId="164F9759" w14:textId="77777777" w:rsidR="002774B7" w:rsidRPr="00503DCB" w:rsidRDefault="002774B7">
            <w:pPr>
              <w:rPr>
                <w:rFonts w:cstheme="minorHAnsi"/>
              </w:rPr>
            </w:pPr>
          </w:p>
        </w:tc>
      </w:tr>
      <w:tr w:rsidR="00E23EB9" w:rsidRPr="00503DCB" w14:paraId="1D6DE882" w14:textId="77777777" w:rsidTr="78B05A67">
        <w:trPr>
          <w:trHeight w:val="960"/>
        </w:trPr>
        <w:tc>
          <w:tcPr>
            <w:tcW w:w="3340" w:type="dxa"/>
            <w:hideMark/>
          </w:tcPr>
          <w:p w14:paraId="43459B79" w14:textId="77777777" w:rsidR="00E23EB9" w:rsidRPr="00503DCB" w:rsidRDefault="00E23EB9" w:rsidP="00167FC4">
            <w:pPr>
              <w:rPr>
                <w:rFonts w:cstheme="minorHAnsi"/>
              </w:rPr>
            </w:pPr>
            <w:r w:rsidRPr="00503DCB">
              <w:rPr>
                <w:rFonts w:cstheme="minorHAnsi"/>
              </w:rPr>
              <w:t xml:space="preserve">Anemie </w:t>
            </w:r>
          </w:p>
        </w:tc>
        <w:tc>
          <w:tcPr>
            <w:tcW w:w="5727" w:type="dxa"/>
          </w:tcPr>
          <w:p w14:paraId="606A4BCE" w14:textId="77777777" w:rsidR="002774B7" w:rsidRPr="00503DCB" w:rsidRDefault="4E720BCA" w:rsidP="78B05A67">
            <w:pPr>
              <w:rPr>
                <w:rFonts w:cstheme="minorHAnsi"/>
              </w:rPr>
            </w:pPr>
            <w:r w:rsidRPr="00503DCB">
              <w:rPr>
                <w:rFonts w:cstheme="minorHAnsi"/>
              </w:rPr>
              <w:t xml:space="preserve">De meest voorkomende oorzaken van anemie en de bijbehorende laboratorium bepalingen worden in dit DTO behandeld. Bij een verdenking op anemie (zonder duidelijke oorzaak) is reflexmatig een anemie-analyse beschikbaar. Deze ondersteunt in het doelmatig aanvragen. Ook komen aan bod: de interpretatie van de analyse en het te volgen beleid bij behandeling en controle van de anemie.  </w:t>
            </w:r>
          </w:p>
          <w:p w14:paraId="68EB1412" w14:textId="77777777" w:rsidR="002774B7" w:rsidRPr="00503DCB" w:rsidRDefault="002774B7" w:rsidP="78B05A67">
            <w:pPr>
              <w:rPr>
                <w:rFonts w:cstheme="minorHAnsi"/>
              </w:rPr>
            </w:pPr>
          </w:p>
        </w:tc>
      </w:tr>
      <w:tr w:rsidR="00E23EB9" w:rsidRPr="00503DCB" w14:paraId="00C159B6" w14:textId="77777777" w:rsidTr="78B05A67">
        <w:trPr>
          <w:trHeight w:val="1200"/>
        </w:trPr>
        <w:tc>
          <w:tcPr>
            <w:tcW w:w="3340" w:type="dxa"/>
            <w:hideMark/>
          </w:tcPr>
          <w:p w14:paraId="1C7D8145" w14:textId="77777777" w:rsidR="00E23EB9" w:rsidRPr="00503DCB" w:rsidRDefault="5DDDD40C" w:rsidP="5396F9F4">
            <w:pPr>
              <w:rPr>
                <w:rFonts w:cstheme="minorHAnsi"/>
                <w:lang w:val="en-US"/>
              </w:rPr>
            </w:pPr>
            <w:r w:rsidRPr="00503DCB">
              <w:rPr>
                <w:rFonts w:cstheme="minorHAnsi"/>
                <w:lang w:val="en-US"/>
              </w:rPr>
              <w:t>V</w:t>
            </w:r>
            <w:r w:rsidR="00E23EB9" w:rsidRPr="00503DCB">
              <w:rPr>
                <w:rFonts w:cstheme="minorHAnsi"/>
                <w:lang w:val="en-US"/>
              </w:rPr>
              <w:t>itamines</w:t>
            </w:r>
            <w:r w:rsidRPr="00503DCB">
              <w:rPr>
                <w:rFonts w:cstheme="minorHAnsi"/>
                <w:lang w:val="en-US"/>
              </w:rPr>
              <w:t xml:space="preserve">: </w:t>
            </w:r>
            <w:r w:rsidR="00E23EB9" w:rsidRPr="00503DCB">
              <w:rPr>
                <w:rFonts w:cstheme="minorHAnsi"/>
                <w:lang w:val="en-US"/>
              </w:rPr>
              <w:t xml:space="preserve">D, B1, B6, B12, MMZ, FZ </w:t>
            </w:r>
          </w:p>
        </w:tc>
        <w:tc>
          <w:tcPr>
            <w:tcW w:w="5727" w:type="dxa"/>
          </w:tcPr>
          <w:p w14:paraId="15D4F6D5" w14:textId="77777777" w:rsidR="48B20088" w:rsidRPr="00503DCB" w:rsidRDefault="48B20088" w:rsidP="78B05A67">
            <w:pPr>
              <w:rPr>
                <w:rFonts w:cstheme="minorHAnsi"/>
              </w:rPr>
            </w:pPr>
            <w:r w:rsidRPr="00503DCB">
              <w:rPr>
                <w:rFonts w:cstheme="minorHAnsi"/>
              </w:rPr>
              <w:t xml:space="preserve">Wanneer is het zinnig om vitamine onderzoek aan te vragen en wanneer juist niet? Dit DTO bestaat uit spiegelinformatie, casuïstiek en achtergrondinformatie over de verschillende vitamines. We geven met name aandacht aan vitamine D, vitamine B12 en methylmalonzuur. Daarnaast bespreken we de indicatie voor aanvragen van vitamine B1, B6 en B11 (foliumzuur). Uiteraard kan ook uitleg worden gegeven bij andere vitamines en mineralen. U kunt dit aangeven </w:t>
            </w:r>
            <w:r w:rsidR="00167FC4" w:rsidRPr="00503DCB">
              <w:rPr>
                <w:rFonts w:cstheme="minorHAnsi"/>
              </w:rPr>
              <w:t>bij het contact persoon - WDH</w:t>
            </w:r>
            <w:r w:rsidRPr="00503DCB">
              <w:rPr>
                <w:rFonts w:cstheme="minorHAnsi"/>
              </w:rPr>
              <w:t xml:space="preserve">.  </w:t>
            </w:r>
          </w:p>
          <w:p w14:paraId="260DF6CA" w14:textId="77777777" w:rsidR="002774B7" w:rsidRPr="00503DCB" w:rsidRDefault="002774B7">
            <w:pPr>
              <w:rPr>
                <w:rFonts w:cstheme="minorHAnsi"/>
              </w:rPr>
            </w:pPr>
          </w:p>
        </w:tc>
      </w:tr>
      <w:tr w:rsidR="00E23EB9" w:rsidRPr="00503DCB" w14:paraId="6F37F07A" w14:textId="77777777" w:rsidTr="78B05A67">
        <w:trPr>
          <w:trHeight w:val="960"/>
        </w:trPr>
        <w:tc>
          <w:tcPr>
            <w:tcW w:w="3340" w:type="dxa"/>
            <w:hideMark/>
          </w:tcPr>
          <w:p w14:paraId="149B42AF" w14:textId="77777777" w:rsidR="00E23EB9" w:rsidRPr="00503DCB" w:rsidRDefault="6470ED7D" w:rsidP="78B05A67">
            <w:pPr>
              <w:rPr>
                <w:rFonts w:cstheme="minorHAnsi"/>
              </w:rPr>
            </w:pPr>
            <w:r w:rsidRPr="00503DCB">
              <w:rPr>
                <w:rFonts w:cstheme="minorHAnsi"/>
              </w:rPr>
              <w:t>L</w:t>
            </w:r>
            <w:r w:rsidR="00E23EB9" w:rsidRPr="00503DCB">
              <w:rPr>
                <w:rFonts w:cstheme="minorHAnsi"/>
              </w:rPr>
              <w:t>everaandoeningen (klinische chemie)</w:t>
            </w:r>
          </w:p>
        </w:tc>
        <w:tc>
          <w:tcPr>
            <w:tcW w:w="5727" w:type="dxa"/>
          </w:tcPr>
          <w:p w14:paraId="2359E375" w14:textId="77777777" w:rsidR="00E23EB9" w:rsidRPr="00503DCB" w:rsidRDefault="582E0C50" w:rsidP="78B05A67">
            <w:pPr>
              <w:rPr>
                <w:rFonts w:cstheme="minorHAnsi"/>
              </w:rPr>
            </w:pPr>
            <w:r w:rsidRPr="00503DCB">
              <w:rPr>
                <w:rFonts w:cstheme="minorHAnsi"/>
              </w:rPr>
              <w:t xml:space="preserve">Dit DTO is gebaseerd op de NHG-standaard Virushepatitis en andere leveraandoeningen (M22). We belichten de parameters die kunnen passen bij een gestoorde leverfunctie </w:t>
            </w:r>
            <w:r w:rsidRPr="00503DCB">
              <w:rPr>
                <w:rFonts w:cstheme="minorHAnsi"/>
              </w:rPr>
              <w:lastRenderedPageBreak/>
              <w:t xml:space="preserve">of leverfalen. We bespreken de oorzaken van leveraandoeningen die afwijkende laboratoriumparameters geven en hoe deze te interpreteren. Let op, we gaan niet in op virushepatiden.  </w:t>
            </w:r>
            <w:r w:rsidR="00E23EB9" w:rsidRPr="00503DCB">
              <w:rPr>
                <w:rFonts w:cstheme="minorHAnsi"/>
              </w:rPr>
              <w:t xml:space="preserve"> </w:t>
            </w:r>
          </w:p>
          <w:p w14:paraId="4A77C11A" w14:textId="77777777" w:rsidR="002774B7" w:rsidRPr="00503DCB" w:rsidRDefault="002774B7">
            <w:pPr>
              <w:rPr>
                <w:rFonts w:cstheme="minorHAnsi"/>
              </w:rPr>
            </w:pPr>
          </w:p>
        </w:tc>
      </w:tr>
      <w:tr w:rsidR="00E23EB9" w:rsidRPr="00503DCB" w14:paraId="04B63B20" w14:textId="77777777" w:rsidTr="78B05A67">
        <w:trPr>
          <w:trHeight w:val="765"/>
        </w:trPr>
        <w:tc>
          <w:tcPr>
            <w:tcW w:w="3340" w:type="dxa"/>
            <w:hideMark/>
          </w:tcPr>
          <w:p w14:paraId="50115B60" w14:textId="77777777" w:rsidR="00E23EB9" w:rsidRPr="00503DCB" w:rsidRDefault="1ACC38A8" w:rsidP="5396F9F4">
            <w:pPr>
              <w:rPr>
                <w:rFonts w:cstheme="minorHAnsi"/>
              </w:rPr>
            </w:pPr>
            <w:r w:rsidRPr="00503DCB">
              <w:rPr>
                <w:rFonts w:cstheme="minorHAnsi"/>
              </w:rPr>
              <w:lastRenderedPageBreak/>
              <w:t xml:space="preserve">Verhoogde </w:t>
            </w:r>
            <w:r w:rsidR="00E23EB9" w:rsidRPr="00503DCB">
              <w:rPr>
                <w:rFonts w:cstheme="minorHAnsi"/>
              </w:rPr>
              <w:t>bloedingsneiging en trombose</w:t>
            </w:r>
          </w:p>
        </w:tc>
        <w:tc>
          <w:tcPr>
            <w:tcW w:w="5727" w:type="dxa"/>
          </w:tcPr>
          <w:p w14:paraId="44EB50CF" w14:textId="77777777" w:rsidR="00E23EB9" w:rsidRPr="00503DCB" w:rsidRDefault="79B256D8" w:rsidP="78B05A67">
            <w:pPr>
              <w:rPr>
                <w:rFonts w:cstheme="minorHAnsi"/>
              </w:rPr>
            </w:pPr>
            <w:r w:rsidRPr="00503DCB">
              <w:rPr>
                <w:rFonts w:cstheme="minorHAnsi"/>
              </w:rPr>
              <w:t xml:space="preserve">Tijdens deze interactieve sessie worden de achtergronden en diagnostiek van hemostase en bloedingsneiging besproken, met casuïstiek over onder andere de ziekte van Von Willebrand en trombocytopenie. Daarnaast komt trombose en antistolling aan bod, inclusief veneuze en arteriële trombose, interpretatie van D-dimeer, antistollingsbeleid en erfelijke trombofilie. Door middel van casuïstiek wordt de praktische toepassing van diagnostiek en beslisregels in de huisartsenzorg behandeld. Deze sessie biedt een waardevolle verdieping in laboratoriumdiagnostiek en geeft handvatten voor de eerste lijn.  </w:t>
            </w:r>
          </w:p>
          <w:p w14:paraId="1287F45C" w14:textId="77777777" w:rsidR="00E23EB9" w:rsidRPr="00503DCB" w:rsidRDefault="00E23EB9" w:rsidP="78B05A67">
            <w:pPr>
              <w:rPr>
                <w:rFonts w:cstheme="minorHAnsi"/>
              </w:rPr>
            </w:pPr>
          </w:p>
        </w:tc>
      </w:tr>
      <w:tr w:rsidR="00E23EB9" w:rsidRPr="00503DCB" w14:paraId="6FE8279E" w14:textId="77777777" w:rsidTr="78B05A67">
        <w:trPr>
          <w:trHeight w:val="840"/>
        </w:trPr>
        <w:tc>
          <w:tcPr>
            <w:tcW w:w="3340" w:type="dxa"/>
            <w:hideMark/>
          </w:tcPr>
          <w:p w14:paraId="5E06FBF6" w14:textId="77777777" w:rsidR="00E23EB9" w:rsidRPr="00503DCB" w:rsidRDefault="3A95A95E" w:rsidP="78B05A67">
            <w:pPr>
              <w:rPr>
                <w:rFonts w:cstheme="minorHAnsi"/>
              </w:rPr>
            </w:pPr>
            <w:r w:rsidRPr="00503DCB">
              <w:rPr>
                <w:rFonts w:cstheme="minorHAnsi"/>
              </w:rPr>
              <w:t>C</w:t>
            </w:r>
            <w:r w:rsidR="00E23EB9" w:rsidRPr="00503DCB">
              <w:rPr>
                <w:rFonts w:cstheme="minorHAnsi"/>
              </w:rPr>
              <w:t>hronische nierschade</w:t>
            </w:r>
          </w:p>
        </w:tc>
        <w:tc>
          <w:tcPr>
            <w:tcW w:w="5727" w:type="dxa"/>
          </w:tcPr>
          <w:p w14:paraId="4CFCF531" w14:textId="77777777" w:rsidR="002774B7" w:rsidRPr="00503DCB" w:rsidRDefault="5DB9C36A" w:rsidP="78B05A67">
            <w:pPr>
              <w:rPr>
                <w:rFonts w:cstheme="minorHAnsi"/>
              </w:rPr>
            </w:pPr>
            <w:r w:rsidRPr="00503DCB">
              <w:rPr>
                <w:rFonts w:cstheme="minorHAnsi"/>
              </w:rPr>
              <w:t xml:space="preserve">Welke parameters, naast </w:t>
            </w:r>
            <w:r w:rsidR="273DBD92" w:rsidRPr="00503DCB">
              <w:rPr>
                <w:rFonts w:cstheme="minorHAnsi"/>
              </w:rPr>
              <w:t>k</w:t>
            </w:r>
            <w:r w:rsidRPr="00503DCB">
              <w:rPr>
                <w:rFonts w:cstheme="minorHAnsi"/>
              </w:rPr>
              <w:t xml:space="preserve">reatinine, zijn belangrijk om de oorzaak van chronische nierschade te onderzoeken? Wat zijn de valkuilen hierbij? In dit DTO komt u hierover meer te weten. </w:t>
            </w:r>
          </w:p>
          <w:p w14:paraId="1F573710" w14:textId="77777777" w:rsidR="002774B7" w:rsidRPr="00503DCB" w:rsidRDefault="5DB9C36A" w:rsidP="78B05A67">
            <w:pPr>
              <w:rPr>
                <w:rFonts w:cstheme="minorHAnsi"/>
              </w:rPr>
            </w:pPr>
            <w:r w:rsidRPr="00503DCB">
              <w:rPr>
                <w:rFonts w:cstheme="minorHAnsi"/>
              </w:rPr>
              <w:t xml:space="preserve"> </w:t>
            </w:r>
          </w:p>
        </w:tc>
      </w:tr>
      <w:tr w:rsidR="00E23EB9" w:rsidRPr="00503DCB" w14:paraId="294FB251" w14:textId="77777777" w:rsidTr="78B05A67">
        <w:trPr>
          <w:trHeight w:val="1725"/>
        </w:trPr>
        <w:tc>
          <w:tcPr>
            <w:tcW w:w="3340" w:type="dxa"/>
            <w:hideMark/>
          </w:tcPr>
          <w:p w14:paraId="3844CB30" w14:textId="77777777" w:rsidR="00E23EB9" w:rsidRPr="00503DCB" w:rsidRDefault="00A403F2" w:rsidP="78B05A67">
            <w:pPr>
              <w:rPr>
                <w:rFonts w:cstheme="minorHAnsi"/>
              </w:rPr>
            </w:pPr>
            <w:r w:rsidRPr="00503DCB">
              <w:rPr>
                <w:rFonts w:cstheme="minorHAnsi"/>
              </w:rPr>
              <w:t>Overgevoeligheid</w:t>
            </w:r>
            <w:r w:rsidR="00BF39CC" w:rsidRPr="00503DCB">
              <w:rPr>
                <w:rFonts w:cstheme="minorHAnsi"/>
              </w:rPr>
              <w:t xml:space="preserve"> </w:t>
            </w:r>
            <w:r w:rsidRPr="00503DCB">
              <w:rPr>
                <w:rFonts w:cstheme="minorHAnsi"/>
              </w:rPr>
              <w:t xml:space="preserve"> (a</w:t>
            </w:r>
            <w:r w:rsidR="00E23EB9" w:rsidRPr="00503DCB">
              <w:rPr>
                <w:rFonts w:cstheme="minorHAnsi"/>
              </w:rPr>
              <w:t>llergie</w:t>
            </w:r>
            <w:r w:rsidRPr="00503DCB">
              <w:rPr>
                <w:rFonts w:cstheme="minorHAnsi"/>
              </w:rPr>
              <w:t xml:space="preserve"> &amp; coeliakie)</w:t>
            </w:r>
          </w:p>
        </w:tc>
        <w:tc>
          <w:tcPr>
            <w:tcW w:w="5727" w:type="dxa"/>
          </w:tcPr>
          <w:p w14:paraId="4233D4C4" w14:textId="77777777" w:rsidR="002774B7" w:rsidRPr="00503DCB" w:rsidRDefault="151E2B9D" w:rsidP="78B05A67">
            <w:pPr>
              <w:rPr>
                <w:rFonts w:cstheme="minorHAnsi"/>
              </w:rPr>
            </w:pPr>
            <w:r w:rsidRPr="00503DCB">
              <w:rPr>
                <w:rFonts w:cstheme="minorHAnsi"/>
              </w:rPr>
              <w:t>In de</w:t>
            </w:r>
            <w:r w:rsidR="00A403F2" w:rsidRPr="00503DCB">
              <w:rPr>
                <w:rFonts w:cstheme="minorHAnsi"/>
              </w:rPr>
              <w:t>ze DTO worden ver</w:t>
            </w:r>
            <w:r w:rsidR="00BF39CC" w:rsidRPr="00503DCB">
              <w:rPr>
                <w:rFonts w:cstheme="minorHAnsi"/>
              </w:rPr>
              <w:t>s</w:t>
            </w:r>
            <w:r w:rsidR="00A403F2" w:rsidRPr="00503DCB">
              <w:rPr>
                <w:rFonts w:cstheme="minorHAnsi"/>
              </w:rPr>
              <w:t xml:space="preserve">chillende typen overgevoeligheid besproken. </w:t>
            </w:r>
            <w:r w:rsidRPr="00503DCB">
              <w:rPr>
                <w:rFonts w:cstheme="minorHAnsi"/>
              </w:rPr>
              <w:t xml:space="preserve"> </w:t>
            </w:r>
            <w:r w:rsidR="00BF39CC" w:rsidRPr="00503DCB">
              <w:rPr>
                <w:rFonts w:cstheme="minorHAnsi"/>
              </w:rPr>
              <w:t xml:space="preserve">In de </w:t>
            </w:r>
            <w:r w:rsidRPr="00503DCB">
              <w:rPr>
                <w:rFonts w:cstheme="minorHAnsi"/>
              </w:rPr>
              <w:t>dagelijkse praktijk is het aanvragen van bepalingen voor specifieke allergenen lastig. De interpretatie hiervan kan tot vragen leiden bij patiënt en huisarts. Wanneer is het zinnig om een screening aan te vragen? Hoort hier een totaal IgE bij? Waarom begint allergie diagnostiek met een goede anamnese?</w:t>
            </w:r>
            <w:r w:rsidR="00BF39CC" w:rsidRPr="00503DCB">
              <w:rPr>
                <w:rFonts w:cstheme="minorHAnsi"/>
              </w:rPr>
              <w:t xml:space="preserve"> Wat is het verschil tussen coeliakie (glutenallergie) en tarwe allergie? En wat betekent dit voor de diagnostiek?  </w:t>
            </w:r>
            <w:r w:rsidRPr="00503DCB">
              <w:rPr>
                <w:rFonts w:cstheme="minorHAnsi"/>
              </w:rPr>
              <w:t xml:space="preserve"> In dit DTO bespreken we de aanbevelingen vanuit de richtlijnen. Met casuïstiek geven we hierin verduidelijking.  </w:t>
            </w:r>
          </w:p>
          <w:p w14:paraId="5976455C" w14:textId="77777777" w:rsidR="002774B7" w:rsidRPr="00503DCB" w:rsidRDefault="002774B7" w:rsidP="78B05A67">
            <w:pPr>
              <w:rPr>
                <w:rFonts w:cstheme="minorHAnsi"/>
              </w:rPr>
            </w:pPr>
          </w:p>
        </w:tc>
      </w:tr>
      <w:tr w:rsidR="00E23EB9" w:rsidRPr="00503DCB" w14:paraId="33107615" w14:textId="77777777" w:rsidTr="78B05A67">
        <w:trPr>
          <w:trHeight w:val="255"/>
        </w:trPr>
        <w:tc>
          <w:tcPr>
            <w:tcW w:w="3340" w:type="dxa"/>
            <w:hideMark/>
          </w:tcPr>
          <w:p w14:paraId="7178835F" w14:textId="77777777" w:rsidR="00E23EB9" w:rsidRPr="00503DCB" w:rsidRDefault="151E2B9D" w:rsidP="78B05A67">
            <w:pPr>
              <w:rPr>
                <w:rFonts w:cstheme="minorHAnsi"/>
              </w:rPr>
            </w:pPr>
            <w:r w:rsidRPr="00503DCB">
              <w:rPr>
                <w:rFonts w:cstheme="minorHAnsi"/>
              </w:rPr>
              <w:t>S</w:t>
            </w:r>
            <w:r w:rsidR="00E23EB9" w:rsidRPr="00503DCB">
              <w:rPr>
                <w:rFonts w:cstheme="minorHAnsi"/>
              </w:rPr>
              <w:t>childklieraandoeningen</w:t>
            </w:r>
          </w:p>
        </w:tc>
        <w:tc>
          <w:tcPr>
            <w:tcW w:w="5727" w:type="dxa"/>
          </w:tcPr>
          <w:p w14:paraId="3754CB53" w14:textId="77777777" w:rsidR="00E23EB9" w:rsidRPr="00503DCB" w:rsidRDefault="6393E76D" w:rsidP="5396F9F4">
            <w:pPr>
              <w:rPr>
                <w:rFonts w:cstheme="minorHAnsi"/>
              </w:rPr>
            </w:pPr>
            <w:r w:rsidRPr="00503DCB">
              <w:rPr>
                <w:rFonts w:cstheme="minorHAnsi"/>
              </w:rPr>
              <w:t xml:space="preserve">In dit DTO, gebaseerd op de NHG-standaard Schildklieraandoeningen (M31), worden deelnemers aan de hand van casuïstiek, theoretische achtergrond en spiegelinformatie geïnformeerd over de (on)zin van schildklierdiagnostiek. Onderwerpen zijn onder meer: </w:t>
            </w:r>
          </w:p>
          <w:p w14:paraId="4B08F3B6" w14:textId="77777777" w:rsidR="00E23EB9" w:rsidRPr="00503DCB" w:rsidRDefault="6393E76D" w:rsidP="5396F9F4">
            <w:pPr>
              <w:rPr>
                <w:rFonts w:cstheme="minorHAnsi"/>
              </w:rPr>
            </w:pPr>
            <w:r w:rsidRPr="00503DCB">
              <w:rPr>
                <w:rFonts w:cstheme="minorHAnsi"/>
              </w:rPr>
              <w:t xml:space="preserve">De meest voorkomende schildklieraandoeningen. </w:t>
            </w:r>
          </w:p>
          <w:p w14:paraId="317A6EAD" w14:textId="77777777" w:rsidR="00E23EB9" w:rsidRPr="00503DCB" w:rsidRDefault="6393E76D" w:rsidP="5396F9F4">
            <w:pPr>
              <w:rPr>
                <w:rFonts w:cstheme="minorHAnsi"/>
              </w:rPr>
            </w:pPr>
            <w:r w:rsidRPr="00503DCB">
              <w:rPr>
                <w:rFonts w:cstheme="minorHAnsi"/>
              </w:rPr>
              <w:t xml:space="preserve">Indicaties en interpretatie van laboratoriumaanvragen, zoals TSH, FT4, FT3, TPO-antistoffen, TSH-R-antistoffen, BSE en leukocyten. </w:t>
            </w:r>
          </w:p>
          <w:p w14:paraId="40F4A95B" w14:textId="77777777" w:rsidR="00E23EB9" w:rsidRPr="00503DCB" w:rsidRDefault="6393E76D" w:rsidP="5396F9F4">
            <w:pPr>
              <w:rPr>
                <w:rFonts w:cstheme="minorHAnsi"/>
              </w:rPr>
            </w:pPr>
            <w:r w:rsidRPr="00503DCB">
              <w:rPr>
                <w:rFonts w:cstheme="minorHAnsi"/>
              </w:rPr>
              <w:t xml:space="preserve">Controle- en verwijsbeleid bij verschillende bevindingen. </w:t>
            </w:r>
          </w:p>
          <w:p w14:paraId="0511DEFB" w14:textId="77777777" w:rsidR="00E23EB9" w:rsidRPr="00503DCB" w:rsidRDefault="6393E76D" w:rsidP="5396F9F4">
            <w:pPr>
              <w:rPr>
                <w:rFonts w:cstheme="minorHAnsi"/>
              </w:rPr>
            </w:pPr>
            <w:r w:rsidRPr="00503DCB">
              <w:rPr>
                <w:rFonts w:cstheme="minorHAnsi"/>
              </w:rPr>
              <w:t xml:space="preserve">Beleid bij schildklieraandoeningen tijdens zwangerschap en in de kraamperiode. </w:t>
            </w:r>
          </w:p>
          <w:p w14:paraId="19A3EB46" w14:textId="77777777" w:rsidR="00E23EB9" w:rsidRPr="00503DCB" w:rsidRDefault="6393E76D" w:rsidP="5396F9F4">
            <w:pPr>
              <w:rPr>
                <w:rFonts w:cstheme="minorHAnsi"/>
              </w:rPr>
            </w:pPr>
            <w:r w:rsidRPr="00503DCB">
              <w:rPr>
                <w:rFonts w:cstheme="minorHAnsi"/>
              </w:rPr>
              <w:t xml:space="preserve">Reflectie op eigen spiegelinformatie met betrekking tot het aanvragen van laboratorium- onderzoek. </w:t>
            </w:r>
          </w:p>
          <w:p w14:paraId="408596B9" w14:textId="77777777" w:rsidR="00E23EB9" w:rsidRPr="00503DCB" w:rsidRDefault="6393E76D" w:rsidP="5396F9F4">
            <w:pPr>
              <w:rPr>
                <w:rFonts w:cstheme="minorHAnsi"/>
              </w:rPr>
            </w:pPr>
            <w:r w:rsidRPr="00503DCB">
              <w:rPr>
                <w:rFonts w:cstheme="minorHAnsi"/>
              </w:rPr>
              <w:lastRenderedPageBreak/>
              <w:t>Het doel is om kennis en inzicht te vergroten voor een efficiëntere en meer gerichte diagnostiek en behandeling.</w:t>
            </w:r>
          </w:p>
          <w:p w14:paraId="5FF41D2F" w14:textId="77777777" w:rsidR="00E23EB9" w:rsidRPr="00503DCB" w:rsidRDefault="00E23EB9" w:rsidP="78B05A67">
            <w:pPr>
              <w:rPr>
                <w:rFonts w:cstheme="minorHAnsi"/>
              </w:rPr>
            </w:pPr>
          </w:p>
        </w:tc>
      </w:tr>
      <w:tr w:rsidR="00E23EB9" w:rsidRPr="00503DCB" w14:paraId="61B2E3F5" w14:textId="77777777" w:rsidTr="78B05A67">
        <w:trPr>
          <w:trHeight w:val="1920"/>
        </w:trPr>
        <w:tc>
          <w:tcPr>
            <w:tcW w:w="3340" w:type="dxa"/>
            <w:hideMark/>
          </w:tcPr>
          <w:p w14:paraId="198ECD96" w14:textId="77777777" w:rsidR="00E23EB9" w:rsidRPr="00503DCB" w:rsidRDefault="00E23EB9" w:rsidP="5396F9F4">
            <w:pPr>
              <w:rPr>
                <w:rFonts w:cstheme="minorHAnsi"/>
              </w:rPr>
            </w:pPr>
            <w:r w:rsidRPr="00503DCB">
              <w:rPr>
                <w:rFonts w:cstheme="minorHAnsi"/>
              </w:rPr>
              <w:lastRenderedPageBreak/>
              <w:t>Doelmatig antibiotica bij infecties in huisartsenpraktijk</w:t>
            </w:r>
          </w:p>
        </w:tc>
        <w:tc>
          <w:tcPr>
            <w:tcW w:w="5727" w:type="dxa"/>
          </w:tcPr>
          <w:p w14:paraId="1671B1AF" w14:textId="77777777" w:rsidR="1DF23C95" w:rsidRPr="00503DCB" w:rsidRDefault="1DF23C95" w:rsidP="78B05A67">
            <w:pPr>
              <w:rPr>
                <w:rFonts w:cstheme="minorHAnsi"/>
              </w:rPr>
            </w:pPr>
            <w:r w:rsidRPr="00503DCB">
              <w:rPr>
                <w:rFonts w:cstheme="minorHAnsi"/>
              </w:rPr>
              <w:t xml:space="preserve">Antibioticaresistentie is en wereldwijd probleem. Een groot deel van de antibiotica wordt voorgeschreven in de huisartspraktijk. Het bewust en weloverwogen (niet) voorschrijven van antibiotica, oftewel antibiotic stewardship, draagt bij aan het beperkt houden van antibioticaresistentie in ons land. In dit DTO/FTO wordt geleerd hoe keuzes in verschillende NHG-standaarden tot stand zijn gekomen. De e-learning geeft voorafgaand aan het DTO/FTO de inhoudelijke verdieping, waarna tijdens het DTO/FTO de kennis over de juiste diagnostiek en de juiste behandeling toegepast kan worden in een escapespel. Wie heeft als eerste de wachtkamer leeggespeeld? In de nabespreking wordt aan de hand van de juiste antwoorden en spiegelinformatie de motivatie achter het kiezen van de juiste test en het juiste antibioticum nader besproken.  </w:t>
            </w:r>
          </w:p>
          <w:p w14:paraId="22BA5746" w14:textId="77777777" w:rsidR="002774B7" w:rsidRPr="00503DCB" w:rsidRDefault="002774B7">
            <w:pPr>
              <w:rPr>
                <w:rFonts w:cstheme="minorHAnsi"/>
              </w:rPr>
            </w:pPr>
          </w:p>
        </w:tc>
      </w:tr>
      <w:tr w:rsidR="00E23EB9" w:rsidRPr="00503DCB" w14:paraId="54052CA0" w14:textId="77777777" w:rsidTr="003E7194">
        <w:trPr>
          <w:trHeight w:val="983"/>
        </w:trPr>
        <w:tc>
          <w:tcPr>
            <w:tcW w:w="3340" w:type="dxa"/>
            <w:hideMark/>
          </w:tcPr>
          <w:p w14:paraId="26E00B71" w14:textId="77777777" w:rsidR="00E23EB9" w:rsidRPr="00503DCB" w:rsidRDefault="00E23EB9">
            <w:pPr>
              <w:rPr>
                <w:rFonts w:cstheme="minorHAnsi"/>
              </w:rPr>
            </w:pPr>
            <w:r w:rsidRPr="00503DCB">
              <w:rPr>
                <w:rFonts w:cstheme="minorHAnsi"/>
              </w:rPr>
              <w:t>Urineweginfecties</w:t>
            </w:r>
          </w:p>
        </w:tc>
        <w:tc>
          <w:tcPr>
            <w:tcW w:w="5727" w:type="dxa"/>
          </w:tcPr>
          <w:p w14:paraId="7C23B4EE" w14:textId="77777777" w:rsidR="5F8B2044" w:rsidRPr="00503DCB" w:rsidRDefault="5F8B2044" w:rsidP="78B05A67">
            <w:pPr>
              <w:rPr>
                <w:rFonts w:cstheme="minorHAnsi"/>
              </w:rPr>
            </w:pPr>
            <w:r w:rsidRPr="00503DCB">
              <w:rPr>
                <w:rFonts w:cstheme="minorHAnsi"/>
              </w:rPr>
              <w:t xml:space="preserve">Urineweginfecties zijn een veelvoorkomend probleem binnen de huisartsenpraktijk en de meest voorkomende reden voor het voorschrijven van een antibioticum. Wanneer moet een kweek ingezet worden? Moet je altijd iets doen met een positieve uitslag van een urinekweek? Welk antibioticum moet in welke situatie gestart worden en waarom? In dit DTO/FTO wordt op een interactieve manier ingegaan op de juiste diagnostiek, de indicaties voor diagnostiek en de juiste behandeling bij urineweginfecties. Aan de hand van de NHG-richtlijn en lokale spiegelinformatie worden de huisartsen geschoold in het doelmatig inzetten en gebruiken van urinekweken en de verschillende behandelopties.  </w:t>
            </w:r>
          </w:p>
          <w:p w14:paraId="00E10839" w14:textId="77777777" w:rsidR="00E23EB9" w:rsidRPr="00503DCB" w:rsidRDefault="00E23EB9" w:rsidP="002774B7">
            <w:pPr>
              <w:rPr>
                <w:rFonts w:cstheme="minorHAnsi"/>
              </w:rPr>
            </w:pPr>
          </w:p>
        </w:tc>
      </w:tr>
      <w:tr w:rsidR="00E23EB9" w:rsidRPr="00503DCB" w14:paraId="32630713" w14:textId="77777777" w:rsidTr="78B05A67">
        <w:trPr>
          <w:trHeight w:val="480"/>
        </w:trPr>
        <w:tc>
          <w:tcPr>
            <w:tcW w:w="3340" w:type="dxa"/>
            <w:hideMark/>
          </w:tcPr>
          <w:p w14:paraId="658DDFA0" w14:textId="77777777" w:rsidR="00E23EB9" w:rsidRPr="00503DCB" w:rsidRDefault="00E23EB9" w:rsidP="5396F9F4">
            <w:pPr>
              <w:rPr>
                <w:rFonts w:cstheme="minorHAnsi"/>
              </w:rPr>
            </w:pPr>
            <w:r w:rsidRPr="00503DCB">
              <w:rPr>
                <w:rFonts w:cstheme="minorHAnsi"/>
              </w:rPr>
              <w:t>S</w:t>
            </w:r>
            <w:r w:rsidR="5E2D8264" w:rsidRPr="00503DCB">
              <w:rPr>
                <w:rFonts w:cstheme="minorHAnsi"/>
              </w:rPr>
              <w:t>eksueel overdraagbare aandoeningen</w:t>
            </w:r>
          </w:p>
        </w:tc>
        <w:tc>
          <w:tcPr>
            <w:tcW w:w="5727" w:type="dxa"/>
          </w:tcPr>
          <w:p w14:paraId="0EC8D8D7" w14:textId="77777777" w:rsidR="3FB7779E" w:rsidRPr="00503DCB" w:rsidRDefault="3FB7779E" w:rsidP="78B05A67">
            <w:pPr>
              <w:rPr>
                <w:rFonts w:cstheme="minorHAnsi"/>
              </w:rPr>
            </w:pPr>
            <w:r w:rsidRPr="00503DCB">
              <w:rPr>
                <w:rFonts w:cstheme="minorHAnsi"/>
              </w:rPr>
              <w:t xml:space="preserve">Dit DTO/FTO is een interactieve presentatie waarin aan de hand van casuïstiek en lokale spiegelinformatie de actuele richtlijnen ten aanzien van het SOA-consult worden besproken.  </w:t>
            </w:r>
          </w:p>
          <w:p w14:paraId="4A33702B" w14:textId="77777777" w:rsidR="00E23EB9" w:rsidRPr="00503DCB" w:rsidRDefault="00E23EB9">
            <w:pPr>
              <w:rPr>
                <w:rFonts w:cstheme="minorHAnsi"/>
              </w:rPr>
            </w:pPr>
          </w:p>
        </w:tc>
      </w:tr>
      <w:tr w:rsidR="00E23EB9" w:rsidRPr="00503DCB" w14:paraId="53727A3A" w14:textId="77777777" w:rsidTr="78B05A67">
        <w:trPr>
          <w:trHeight w:val="1200"/>
        </w:trPr>
        <w:tc>
          <w:tcPr>
            <w:tcW w:w="3340" w:type="dxa"/>
            <w:hideMark/>
          </w:tcPr>
          <w:p w14:paraId="1C133B7F" w14:textId="77777777" w:rsidR="00E23EB9" w:rsidRPr="00503DCB" w:rsidRDefault="00E23EB9">
            <w:pPr>
              <w:rPr>
                <w:rFonts w:cstheme="minorHAnsi"/>
              </w:rPr>
            </w:pPr>
            <w:r w:rsidRPr="00503DCB">
              <w:rPr>
                <w:rFonts w:cstheme="minorHAnsi"/>
              </w:rPr>
              <w:t>Gastro-enteritis</w:t>
            </w:r>
          </w:p>
        </w:tc>
        <w:tc>
          <w:tcPr>
            <w:tcW w:w="5727" w:type="dxa"/>
          </w:tcPr>
          <w:p w14:paraId="28DE3794" w14:textId="77777777" w:rsidR="041951E6" w:rsidRPr="00503DCB" w:rsidRDefault="041951E6" w:rsidP="78B05A67">
            <w:pPr>
              <w:rPr>
                <w:rFonts w:cstheme="minorHAnsi"/>
              </w:rPr>
            </w:pPr>
            <w:r w:rsidRPr="00503DCB">
              <w:rPr>
                <w:rFonts w:cstheme="minorHAnsi"/>
              </w:rPr>
              <w:t xml:space="preserve">De oorzaak van acute diarree is meestal infectieus, maar ook als diarree wat langer bestaat kan een infectie de oorzaak zijn. Wat is nu precies een 'feceskweek' en wanneer moet deze nu wel of juist niet worden aangevraagd? En wanneer moet antibiotica gegeven worden en wanneer niet. In dit DTO/FTO wordt de diagnostiek naar en behandeling van virale, bacteriële en parasitaire verwekkers van gastro-enteritis besproken aan de hand van de NHG-richtlijn en lokale spiegelinformatie.  Het doel is om de huisartsen te zin-en onzin van fecesdiagnostiek mee te geven.  </w:t>
            </w:r>
          </w:p>
          <w:p w14:paraId="7006E455" w14:textId="77777777" w:rsidR="002774B7" w:rsidRPr="00503DCB" w:rsidRDefault="002774B7">
            <w:pPr>
              <w:rPr>
                <w:rFonts w:cstheme="minorHAnsi"/>
              </w:rPr>
            </w:pPr>
          </w:p>
        </w:tc>
      </w:tr>
    </w:tbl>
    <w:p w14:paraId="69C7EBE5" w14:textId="77777777" w:rsidR="00E23EB9" w:rsidRPr="00503DCB" w:rsidRDefault="00E23EB9">
      <w:pPr>
        <w:rPr>
          <w:rFonts w:cstheme="minorHAnsi"/>
        </w:rPr>
      </w:pPr>
    </w:p>
    <w:sectPr w:rsidR="00E23EB9" w:rsidRPr="00503DCB">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317A0A" w16cex:dateUtc="2025-10-02T07:39:19.311Z"/>
  <w16cex:commentExtensible w16cex:durableId="1F6A8B1D" w16cex:dateUtc="2025-09-10T12:06:10.739Z"/>
  <w16cex:commentExtensible w16cex:durableId="32844E9E" w16cex:dateUtc="2025-09-10T12:06:50.168Z"/>
  <w16cex:commentExtensible w16cex:durableId="002E2FD1" w16cex:dateUtc="2025-10-02T07:41:39.88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CD36A" w16cid:durableId="1F6A8B1D"/>
  <w16cid:commentId w16cid:paraId="48B7BC86" w16cid:durableId="2C935075"/>
  <w16cid:commentId w16cid:paraId="1415290F" w16cid:durableId="002E2FD1"/>
  <w16cid:commentId w16cid:paraId="7E287E3D" w16cid:durableId="32844E9E"/>
  <w16cid:commentId w16cid:paraId="6F0108AC" w16cid:durableId="0B317A0A"/>
  <w16cid:commentId w16cid:paraId="13D47BD3" w16cid:durableId="2C9351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7D4E" w14:textId="77777777" w:rsidR="00503DCB" w:rsidRDefault="00503DCB" w:rsidP="00503DCB">
      <w:r>
        <w:separator/>
      </w:r>
    </w:p>
  </w:endnote>
  <w:endnote w:type="continuationSeparator" w:id="0">
    <w:p w14:paraId="5B6D21D2" w14:textId="77777777" w:rsidR="00503DCB" w:rsidRDefault="00503DCB" w:rsidP="0050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443B" w14:textId="77777777" w:rsidR="00503DCB" w:rsidRDefault="00503DCB" w:rsidP="00503DCB">
      <w:r>
        <w:separator/>
      </w:r>
    </w:p>
  </w:footnote>
  <w:footnote w:type="continuationSeparator" w:id="0">
    <w:p w14:paraId="7382EEDE" w14:textId="77777777" w:rsidR="00503DCB" w:rsidRDefault="00503DCB" w:rsidP="0050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E1DE" w14:textId="7B0C5C65" w:rsidR="00503DCB" w:rsidRPr="00503DCB" w:rsidRDefault="00503DCB" w:rsidP="00503DCB">
    <w:pPr>
      <w:pStyle w:val="Koptekst"/>
      <w:jc w:val="center"/>
    </w:pPr>
    <w:r w:rsidRPr="00503DCB">
      <w:rPr>
        <w:noProof/>
        <w:lang w:eastAsia="nl-NL"/>
      </w:rPr>
      <w:drawing>
        <wp:inline distT="0" distB="0" distL="0" distR="0" wp14:anchorId="60CE2ADE" wp14:editId="7A3B9348">
          <wp:extent cx="2971800" cy="846756"/>
          <wp:effectExtent l="0" t="0" r="0" b="0"/>
          <wp:docPr id="1" name="Afbeelding 1" descr="C:\Users\R.Feijen\OneDrive - Meander Medisch Centrum\Documenten\Docs\Meander intern\Logo Meande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eijen\OneDrive - Meander Medisch Centrum\Documenten\Docs\Meander intern\Logo Meander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841" cy="8530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B9"/>
    <w:rsid w:val="00060D35"/>
    <w:rsid w:val="00167FC4"/>
    <w:rsid w:val="002774B7"/>
    <w:rsid w:val="003E7194"/>
    <w:rsid w:val="00503DCB"/>
    <w:rsid w:val="0053367C"/>
    <w:rsid w:val="00631E07"/>
    <w:rsid w:val="006830D8"/>
    <w:rsid w:val="0099132F"/>
    <w:rsid w:val="00A403F2"/>
    <w:rsid w:val="00AF4C74"/>
    <w:rsid w:val="00B83B89"/>
    <w:rsid w:val="00BF39CC"/>
    <w:rsid w:val="00E23EB9"/>
    <w:rsid w:val="041951E6"/>
    <w:rsid w:val="0775EE3F"/>
    <w:rsid w:val="09BDFDE5"/>
    <w:rsid w:val="0A0F4598"/>
    <w:rsid w:val="0C6D9EEB"/>
    <w:rsid w:val="0D292A02"/>
    <w:rsid w:val="0DD5DBCD"/>
    <w:rsid w:val="103D23AA"/>
    <w:rsid w:val="11C68C6D"/>
    <w:rsid w:val="151E2B9D"/>
    <w:rsid w:val="15AE6DD5"/>
    <w:rsid w:val="15B1D4C2"/>
    <w:rsid w:val="16D92977"/>
    <w:rsid w:val="1765EC44"/>
    <w:rsid w:val="1ACC38A8"/>
    <w:rsid w:val="1B906BEA"/>
    <w:rsid w:val="1BCD8A2A"/>
    <w:rsid w:val="1DF23C95"/>
    <w:rsid w:val="1E4A2557"/>
    <w:rsid w:val="1E6BD8B8"/>
    <w:rsid w:val="2135D383"/>
    <w:rsid w:val="26AC7F17"/>
    <w:rsid w:val="273DBD92"/>
    <w:rsid w:val="27B1A20B"/>
    <w:rsid w:val="29D28983"/>
    <w:rsid w:val="2C8189CD"/>
    <w:rsid w:val="2D9E0C1A"/>
    <w:rsid w:val="345C5A45"/>
    <w:rsid w:val="3A95A95E"/>
    <w:rsid w:val="3ABC8E57"/>
    <w:rsid w:val="3B57C804"/>
    <w:rsid w:val="3C529E5F"/>
    <w:rsid w:val="3F266D7B"/>
    <w:rsid w:val="3FB7779E"/>
    <w:rsid w:val="40D197CC"/>
    <w:rsid w:val="459766B1"/>
    <w:rsid w:val="47E56819"/>
    <w:rsid w:val="48B20088"/>
    <w:rsid w:val="4E720BCA"/>
    <w:rsid w:val="5290204B"/>
    <w:rsid w:val="5329AC6E"/>
    <w:rsid w:val="5396F9F4"/>
    <w:rsid w:val="53CA97F4"/>
    <w:rsid w:val="5511E62C"/>
    <w:rsid w:val="56B350AD"/>
    <w:rsid w:val="57D3A49C"/>
    <w:rsid w:val="582E0C50"/>
    <w:rsid w:val="58D9CA8E"/>
    <w:rsid w:val="59B64D34"/>
    <w:rsid w:val="5A7124B3"/>
    <w:rsid w:val="5C46797C"/>
    <w:rsid w:val="5DB9C36A"/>
    <w:rsid w:val="5DDDD40C"/>
    <w:rsid w:val="5E15B102"/>
    <w:rsid w:val="5E23C418"/>
    <w:rsid w:val="5E2D8264"/>
    <w:rsid w:val="5F8B2044"/>
    <w:rsid w:val="5FAE9C3A"/>
    <w:rsid w:val="6393E76D"/>
    <w:rsid w:val="6470ED7D"/>
    <w:rsid w:val="65C67511"/>
    <w:rsid w:val="67C30D26"/>
    <w:rsid w:val="6A4EC76F"/>
    <w:rsid w:val="6AF6A071"/>
    <w:rsid w:val="6CEDA222"/>
    <w:rsid w:val="6D8077E1"/>
    <w:rsid w:val="6D867BF9"/>
    <w:rsid w:val="702264F0"/>
    <w:rsid w:val="716BDA32"/>
    <w:rsid w:val="7258DCFA"/>
    <w:rsid w:val="73F68A12"/>
    <w:rsid w:val="78B05A67"/>
    <w:rsid w:val="79B0E76E"/>
    <w:rsid w:val="79B256D8"/>
    <w:rsid w:val="7C4C7B5C"/>
    <w:rsid w:val="7D795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3CB5"/>
  <w15:chartTrackingRefBased/>
  <w15:docId w15:val="{81B29F86-688B-4398-A6FE-F31C8D91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3EB9"/>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2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060D3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D35"/>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060D35"/>
    <w:rPr>
      <w:b/>
      <w:bCs/>
    </w:rPr>
  </w:style>
  <w:style w:type="character" w:customStyle="1" w:styleId="OnderwerpvanopmerkingChar">
    <w:name w:val="Onderwerp van opmerking Char"/>
    <w:basedOn w:val="TekstopmerkingChar"/>
    <w:link w:val="Onderwerpvanopmerking"/>
    <w:uiPriority w:val="99"/>
    <w:semiHidden/>
    <w:rsid w:val="00060D35"/>
    <w:rPr>
      <w:b/>
      <w:bCs/>
      <w:sz w:val="20"/>
      <w:szCs w:val="20"/>
    </w:rPr>
  </w:style>
  <w:style w:type="paragraph" w:styleId="Koptekst">
    <w:name w:val="header"/>
    <w:basedOn w:val="Standaard"/>
    <w:link w:val="KoptekstChar"/>
    <w:uiPriority w:val="99"/>
    <w:unhideWhenUsed/>
    <w:rsid w:val="00503DCB"/>
    <w:pPr>
      <w:tabs>
        <w:tab w:val="center" w:pos="4536"/>
        <w:tab w:val="right" w:pos="9072"/>
      </w:tabs>
    </w:pPr>
  </w:style>
  <w:style w:type="character" w:customStyle="1" w:styleId="KoptekstChar">
    <w:name w:val="Koptekst Char"/>
    <w:basedOn w:val="Standaardalinea-lettertype"/>
    <w:link w:val="Koptekst"/>
    <w:uiPriority w:val="99"/>
    <w:rsid w:val="00503DCB"/>
  </w:style>
  <w:style w:type="paragraph" w:styleId="Voettekst">
    <w:name w:val="footer"/>
    <w:basedOn w:val="Standaard"/>
    <w:link w:val="VoettekstChar"/>
    <w:uiPriority w:val="99"/>
    <w:unhideWhenUsed/>
    <w:rsid w:val="00503DCB"/>
    <w:pPr>
      <w:tabs>
        <w:tab w:val="center" w:pos="4536"/>
        <w:tab w:val="right" w:pos="9072"/>
      </w:tabs>
    </w:pPr>
  </w:style>
  <w:style w:type="character" w:customStyle="1" w:styleId="VoettekstChar">
    <w:name w:val="Voettekst Char"/>
    <w:basedOn w:val="Standaardalinea-lettertype"/>
    <w:link w:val="Voettekst"/>
    <w:uiPriority w:val="99"/>
    <w:rsid w:val="0050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1418">
      <w:bodyDiv w:val="1"/>
      <w:marLeft w:val="0"/>
      <w:marRight w:val="0"/>
      <w:marTop w:val="0"/>
      <w:marBottom w:val="0"/>
      <w:divBdr>
        <w:top w:val="none" w:sz="0" w:space="0" w:color="auto"/>
        <w:left w:val="none" w:sz="0" w:space="0" w:color="auto"/>
        <w:bottom w:val="none" w:sz="0" w:space="0" w:color="auto"/>
        <w:right w:val="none" w:sz="0" w:space="0" w:color="auto"/>
      </w:divBdr>
    </w:div>
    <w:div w:id="18686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36fa1cc3b81943cb" Type="http://schemas.microsoft.com/office/2018/08/relationships/commentsExtensible" Target="commentsExtensible.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28c242-e075-4b97-86fd-a065f0a60c1a" xsi:nil="true"/>
    <lcf76f155ced4ddcb4097134ff3c332f xmlns="bb87a258-064a-43c2-aced-0d65b59819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84342E27EF543A6E2EF89E28EBC48" ma:contentTypeVersion="15" ma:contentTypeDescription="Een nieuw document maken." ma:contentTypeScope="" ma:versionID="9c5d38b71dc17b72012676c8f9d772e1">
  <xsd:schema xmlns:xsd="http://www.w3.org/2001/XMLSchema" xmlns:xs="http://www.w3.org/2001/XMLSchema" xmlns:p="http://schemas.microsoft.com/office/2006/metadata/properties" xmlns:ns2="bb87a258-064a-43c2-aced-0d65b598195c" xmlns:ns3="5928c242-e075-4b97-86fd-a065f0a60c1a" targetNamespace="http://schemas.microsoft.com/office/2006/metadata/properties" ma:root="true" ma:fieldsID="4ed9901b3f7af176e96501cf15122698" ns2:_="" ns3:_="">
    <xsd:import namespace="bb87a258-064a-43c2-aced-0d65b598195c"/>
    <xsd:import namespace="5928c242-e075-4b97-86fd-a065f0a60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7a258-064a-43c2-aced-0d65b5981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6f01c69-7ea4-4d9b-8611-ce5dc03da4b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8c242-e075-4b97-86fd-a065f0a60c1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032cb7-7061-4107-885b-3369ce227530}" ma:internalName="TaxCatchAll" ma:showField="CatchAllData" ma:web="5928c242-e075-4b97-86fd-a065f0a60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0F7BF-C6E3-4AAC-BDD4-0F5033587A96}">
  <ds:schemaRefs>
    <ds:schemaRef ds:uri="http://schemas.microsoft.com/sharepoint/v3/contenttype/forms"/>
  </ds:schemaRefs>
</ds:datastoreItem>
</file>

<file path=customXml/itemProps2.xml><?xml version="1.0" encoding="utf-8"?>
<ds:datastoreItem xmlns:ds="http://schemas.openxmlformats.org/officeDocument/2006/customXml" ds:itemID="{B4F41C70-1DCD-467C-BF41-9CAA32B78483}">
  <ds:schemaRefs>
    <ds:schemaRef ds:uri="5928c242-e075-4b97-86fd-a065f0a60c1a"/>
    <ds:schemaRef ds:uri="http://purl.org/dc/terms/"/>
    <ds:schemaRef ds:uri="http://purl.org/dc/dcmitype/"/>
    <ds:schemaRef ds:uri="bb87a258-064a-43c2-aced-0d65b598195c"/>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6C0D0D2-E90F-4113-93CB-DFE89776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7a258-064a-43c2-aced-0d65b598195c"/>
    <ds:schemaRef ds:uri="5928c242-e075-4b97-86fd-a065f0a60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1133</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Bikker, Angela (Klinische Chemie)</dc:creator>
  <cp:keywords/>
  <dc:description/>
  <cp:lastModifiedBy>Neumann, R. (Renske)</cp:lastModifiedBy>
  <cp:revision>3</cp:revision>
  <dcterms:created xsi:type="dcterms:W3CDTF">2025-11-25T15:22:00Z</dcterms:created>
  <dcterms:modified xsi:type="dcterms:W3CDTF">2025-12-18T09:12:00Z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0x010100DF584342E27EF543A6E2EF89E28EBC48</vt:lpwstr>
  </property>
  <property fmtid="{D5CDD505-2E9C-101B-9397-08002B2CF9AE}" pid="3" name="MediaServiceImageTags">
    <vt:lpwstr/>
  </property>
</Properties>
</file>